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BD77A6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DA1899">
        <w:rPr>
          <w:rFonts w:cs="Arial"/>
          <w:color w:val="000000"/>
          <w:sz w:val="24"/>
          <w:szCs w:val="24"/>
        </w:rPr>
        <w:t>8475</w:t>
      </w:r>
    </w:p>
    <w:p w14:paraId="2700B07E" w14:textId="701DE2D1"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w:t>
      </w:r>
      <w:r w:rsidR="00692A4D">
        <w:rPr>
          <w:rFonts w:eastAsia="SimSun"/>
          <w:sz w:val="24"/>
          <w:szCs w:val="24"/>
          <w:lang w:eastAsia="zh-CN"/>
        </w:rPr>
        <w:t>6</w:t>
      </w:r>
      <w:r>
        <w:rPr>
          <w:rFonts w:eastAsia="SimSun"/>
          <w:sz w:val="24"/>
          <w:szCs w:val="24"/>
          <w:lang w:eastAsia="zh-CN"/>
        </w:rPr>
        <w:t xml:space="preserve">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BF9CF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B650E">
        <w:rPr>
          <w:rFonts w:ascii="Arial" w:hAnsi="Arial"/>
          <w:sz w:val="24"/>
          <w:lang w:val="en-US"/>
        </w:rPr>
        <w:t>9</w:t>
      </w:r>
      <w:r w:rsidR="001B795D">
        <w:rPr>
          <w:rFonts w:ascii="Arial" w:hAnsi="Arial"/>
          <w:sz w:val="24"/>
          <w:lang w:val="en-US"/>
        </w:rPr>
        <w:t>.</w:t>
      </w:r>
      <w:r w:rsidR="00B64BA3">
        <w:rPr>
          <w:rFonts w:ascii="Arial" w:hAnsi="Arial"/>
          <w:sz w:val="24"/>
          <w:lang w:val="en-US"/>
        </w:rPr>
        <w:t>1.5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D17E9C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4546C">
        <w:rPr>
          <w:rFonts w:ascii="Arial" w:hAnsi="Arial"/>
          <w:sz w:val="24"/>
          <w:lang w:val="en-US"/>
        </w:rPr>
        <w:t>General discussion on NR-U RRM 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71A22A1F" w14:textId="6A60552A" w:rsidR="002339E1" w:rsidRPr="001533B1" w:rsidRDefault="00AD41C7" w:rsidP="001533B1">
      <w:pPr>
        <w:rPr>
          <w:lang w:val="en-US"/>
        </w:rPr>
      </w:pPr>
      <w:r>
        <w:rPr>
          <w:lang w:val="en-US"/>
        </w:rPr>
        <w:t xml:space="preserve">In RAN4#91 meeting, a Way Forward on RRM requirements for NR-U was approved which summarized the impact of NR-U carriers in PCell, PSCell, and Scell on existing core requirements [1]. In this paper, we present </w:t>
      </w:r>
      <w:r w:rsidR="00324743">
        <w:rPr>
          <w:lang w:val="en-US"/>
        </w:rPr>
        <w:t>discussion points that can generally be applied to NR-U RRM requirements. More detailed discussions on each RRM topic are presented in our other papers [</w:t>
      </w:r>
      <w:r w:rsidR="00703ABC">
        <w:rPr>
          <w:lang w:val="en-US"/>
        </w:rPr>
        <w:t>5</w:t>
      </w:r>
      <w:r w:rsidR="00324743">
        <w:rPr>
          <w:lang w:val="en-US"/>
        </w:rPr>
        <w:t>-10].</w:t>
      </w:r>
      <w:r w:rsidR="002339E1">
        <w:rPr>
          <w:lang w:val="en-US"/>
        </w:rPr>
        <w:t xml:space="preserve"> </w:t>
      </w:r>
    </w:p>
    <w:p w14:paraId="2D0D5189" w14:textId="31602962" w:rsidR="00C51EC1" w:rsidRDefault="00C51EC1" w:rsidP="00C51EC1">
      <w:pPr>
        <w:pStyle w:val="Heading1"/>
        <w:rPr>
          <w:lang w:val="en-US"/>
        </w:rPr>
      </w:pPr>
      <w:r>
        <w:rPr>
          <w:lang w:val="en-US"/>
        </w:rPr>
        <w:t>Discussion</w:t>
      </w:r>
    </w:p>
    <w:p w14:paraId="3358EBD3" w14:textId="72592E78" w:rsidR="003B5982" w:rsidRDefault="00302E42" w:rsidP="00AC2ADB">
      <w:pPr>
        <w:rPr>
          <w:lang w:val="en-US"/>
        </w:rPr>
      </w:pPr>
      <w:r>
        <w:rPr>
          <w:lang w:val="en-US"/>
        </w:rPr>
        <w:t>In LTE LAA, the applicable RRM requirements were based on DRS Measurement Time Configuration (DMTC). Outside of DMTC window, UE does not consider Discovery Reference Signal (DRS) transmission for measurements including RRM measurements. The DMTC in LTE LAA is 6ms long and periodicity can be configured to be one from the set of {40ms, 80ms, 160ms} [2]. As evident from latest NR-U SR [3], there has not been much discussion or progress on the definition, configuration, and usage of DMTC in NR-U yet. However, it is likely that the same principles apply wherein UE is expected to perform operations related to RRM based on RS availability in DMTC.</w:t>
      </w:r>
      <w:r w:rsidR="003B5982">
        <w:rPr>
          <w:lang w:val="en-US"/>
        </w:rPr>
        <w:t xml:space="preserve"> Therefore, most, if not all, RRM requirements in NR-U can be based on DMTC instead of SMTC.</w:t>
      </w:r>
      <w:r>
        <w:rPr>
          <w:lang w:val="en-US"/>
        </w:rPr>
        <w:t xml:space="preserve"> </w:t>
      </w:r>
    </w:p>
    <w:p w14:paraId="73E9623D" w14:textId="09D21FCE" w:rsidR="00CF6C71" w:rsidRDefault="00CF6C71" w:rsidP="00AC2ADB">
      <w:pPr>
        <w:rPr>
          <w:b/>
          <w:bCs/>
          <w:lang w:val="en-US"/>
        </w:rPr>
      </w:pPr>
      <w:r w:rsidRPr="00456AB6">
        <w:rPr>
          <w:b/>
          <w:bCs/>
          <w:lang w:val="en-US"/>
        </w:rPr>
        <w:t>Observation 1. Similar to LTE LAA, in NR-U, UE is expected to perform operations related to RRM based on RS availability in DMTC.</w:t>
      </w:r>
      <w:r w:rsidR="003B5982">
        <w:rPr>
          <w:b/>
          <w:bCs/>
          <w:lang w:val="en-US"/>
        </w:rPr>
        <w:t xml:space="preserve"> Most, if not all, RRM requirements for NR-U can be based on DMTC instead of SMTC.</w:t>
      </w:r>
    </w:p>
    <w:p w14:paraId="6784E61B" w14:textId="5AA65189" w:rsidR="003B5982" w:rsidRDefault="003B5982" w:rsidP="003B5982">
      <w:pPr>
        <w:rPr>
          <w:lang w:val="en-US"/>
        </w:rPr>
      </w:pPr>
      <w:r>
        <w:rPr>
          <w:lang w:val="en-US"/>
        </w:rPr>
        <w:t>It is also not clear whether minimum DMTC period can be 20ms (similar to minimum SMTC period) or 40ms (similar to LTE LAA). The current agreements regarding DMTC are as follows [3]:</w:t>
      </w:r>
    </w:p>
    <w:p w14:paraId="3992E516" w14:textId="21570671" w:rsidR="003B5982" w:rsidRDefault="003B5982" w:rsidP="003B5982">
      <w:pPr>
        <w:rPr>
          <w:lang w:val="en-US"/>
        </w:rPr>
      </w:pPr>
      <w:r w:rsidRPr="0074147F">
        <w:rPr>
          <w:noProof/>
          <w:lang w:val="en-US" w:eastAsia="zh-CN"/>
        </w:rPr>
        <mc:AlternateContent>
          <mc:Choice Requires="wps">
            <w:drawing>
              <wp:inline distT="0" distB="0" distL="0" distR="0" wp14:anchorId="229EF133" wp14:editId="4697E454">
                <wp:extent cx="5881420" cy="29622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962275"/>
                        </a:xfrm>
                        <a:prstGeom prst="rect">
                          <a:avLst/>
                        </a:prstGeom>
                        <a:solidFill>
                          <a:srgbClr val="FFFFFF"/>
                        </a:solidFill>
                        <a:ln w="9525">
                          <a:solidFill>
                            <a:srgbClr val="000000"/>
                          </a:solidFill>
                          <a:miter lim="800000"/>
                          <a:headEnd/>
                          <a:tailEnd/>
                        </a:ln>
                      </wps:spPr>
                      <wps:txbx>
                        <w:txbxContent>
                          <w:p w14:paraId="598A088E" w14:textId="77777777" w:rsidR="003B5982" w:rsidRDefault="003B5982" w:rsidP="003B5982">
                            <w:pPr>
                              <w:spacing w:after="0"/>
                              <w:rPr>
                                <w:rFonts w:eastAsia="Times New Roman"/>
                              </w:rPr>
                            </w:pPr>
                          </w:p>
                          <w:p w14:paraId="1F77217B" w14:textId="77777777" w:rsidR="003B5982" w:rsidRDefault="003B5982" w:rsidP="003B5982">
                            <w:pPr>
                              <w:spacing w:after="0"/>
                              <w:rPr>
                                <w:lang w:val="en-US" w:eastAsia="x-none"/>
                              </w:rPr>
                            </w:pPr>
                            <w:r>
                              <w:rPr>
                                <w:rFonts w:hint="eastAsia"/>
                                <w:highlight w:val="green"/>
                                <w:lang w:eastAsia="x-none"/>
                              </w:rPr>
                              <w:t>Agreement:</w:t>
                            </w:r>
                          </w:p>
                          <w:p w14:paraId="384C22C2" w14:textId="77777777" w:rsidR="003B5982" w:rsidRDefault="003B5982" w:rsidP="003B5982">
                            <w:pPr>
                              <w:spacing w:after="0"/>
                              <w:rPr>
                                <w:lang w:eastAsia="x-none"/>
                              </w:rPr>
                            </w:pPr>
                            <w:r>
                              <w:rPr>
                                <w:rFonts w:hint="eastAsia"/>
                                <w:lang w:eastAsia="x-none"/>
                              </w:rPr>
                              <w:t>The maximum DRS transmission window duration is 5 ms.</w:t>
                            </w:r>
                          </w:p>
                          <w:p w14:paraId="5BDE335B" w14:textId="77777777" w:rsidR="003B5982" w:rsidRDefault="003B5982" w:rsidP="003B5982">
                            <w:pPr>
                              <w:numPr>
                                <w:ilvl w:val="0"/>
                                <w:numId w:val="34"/>
                              </w:numPr>
                              <w:spacing w:after="0" w:line="256" w:lineRule="auto"/>
                              <w:rPr>
                                <w:lang w:eastAsia="x-none"/>
                              </w:rPr>
                            </w:pPr>
                            <w:r>
                              <w:rPr>
                                <w:rFonts w:hint="eastAsia"/>
                                <w:lang w:eastAsia="x-none"/>
                              </w:rPr>
                              <w:t>The maximum number of candidate SSB positions within a DRS transmission window, Y, is selected as Y = 10 for 15 kHz SCS and Y = 20 for 30 kHz SCS.</w:t>
                            </w:r>
                          </w:p>
                          <w:p w14:paraId="766523D0" w14:textId="77777777" w:rsidR="003B5982" w:rsidRDefault="003B5982" w:rsidP="003B5982">
                            <w:pPr>
                              <w:numPr>
                                <w:ilvl w:val="1"/>
                                <w:numId w:val="34"/>
                              </w:numPr>
                              <w:spacing w:after="0" w:line="256" w:lineRule="auto"/>
                              <w:rPr>
                                <w:lang w:eastAsia="x-none"/>
                              </w:rPr>
                            </w:pPr>
                            <w:r>
                              <w:rPr>
                                <w:rFonts w:hint="eastAsia"/>
                                <w:lang w:eastAsia="x-none"/>
                              </w:rPr>
                              <w:t>Note: The number of starting points for DRS transmissions with the 5 ms window that can use a Cat. 2 LBT is to be discussed further as part of channel access discussions.</w:t>
                            </w:r>
                          </w:p>
                          <w:p w14:paraId="211BE923" w14:textId="77777777" w:rsidR="003B5982" w:rsidRDefault="003B5982" w:rsidP="003B5982">
                            <w:pPr>
                              <w:numPr>
                                <w:ilvl w:val="0"/>
                                <w:numId w:val="34"/>
                              </w:numPr>
                              <w:spacing w:after="0" w:line="256" w:lineRule="auto"/>
                              <w:rPr>
                                <w:lang w:eastAsia="x-none"/>
                              </w:rPr>
                            </w:pPr>
                            <w:r>
                              <w:rPr>
                                <w:rFonts w:hint="eastAsia"/>
                                <w:lang w:eastAsia="x-none"/>
                              </w:rPr>
                              <w:t>FFS: If the DRS transmission window is configurable, and if yes, how to configure and indicate the window, including the range of configurable values.</w:t>
                            </w:r>
                          </w:p>
                          <w:p w14:paraId="46CB9FE2" w14:textId="77777777" w:rsidR="003B5982" w:rsidRDefault="003B5982" w:rsidP="003B5982">
                            <w:pPr>
                              <w:spacing w:after="0"/>
                              <w:rPr>
                                <w:highlight w:val="green"/>
                                <w:lang w:eastAsia="x-none"/>
                              </w:rPr>
                            </w:pPr>
                          </w:p>
                          <w:p w14:paraId="0CC17579" w14:textId="77777777" w:rsidR="003B5982" w:rsidRDefault="003B5982" w:rsidP="003B5982">
                            <w:pPr>
                              <w:spacing w:after="0"/>
                              <w:rPr>
                                <w:lang w:eastAsia="x-none"/>
                              </w:rPr>
                            </w:pPr>
                            <w:r>
                              <w:rPr>
                                <w:rFonts w:hint="eastAsia"/>
                                <w:highlight w:val="green"/>
                                <w:lang w:eastAsia="x-none"/>
                              </w:rPr>
                              <w:t>Agreement:</w:t>
                            </w:r>
                            <w:r>
                              <w:rPr>
                                <w:rFonts w:hint="eastAsia"/>
                                <w:lang w:eastAsia="x-none"/>
                              </w:rPr>
                              <w:t xml:space="preserve"> </w:t>
                            </w:r>
                          </w:p>
                          <w:p w14:paraId="74C46AA9" w14:textId="77777777" w:rsidR="003B5982" w:rsidRDefault="003B5982" w:rsidP="003B5982">
                            <w:pPr>
                              <w:spacing w:after="0"/>
                              <w:rPr>
                                <w:lang w:eastAsia="x-none"/>
                              </w:rPr>
                            </w:pPr>
                            <w:r>
                              <w:rPr>
                                <w:rFonts w:hint="eastAsia"/>
                                <w:lang w:eastAsia="x-none"/>
                              </w:rPr>
                              <w:t>For a given cell, the UE may assume that the PBCH DMRS sequence index is the same for SS/PBCH blocks that are transmitted at the same candidate positions across DRS transmission windows.</w:t>
                            </w:r>
                          </w:p>
                          <w:p w14:paraId="2E3CCF14" w14:textId="77777777" w:rsidR="003B5982" w:rsidRDefault="003B5982" w:rsidP="003B5982">
                            <w:pPr>
                              <w:pStyle w:val="notes"/>
                              <w:rPr>
                                <w:rFonts w:ascii="Times New Roman" w:hAnsi="Times New Roman" w:cs="Times New Roman"/>
                                <w:sz w:val="20"/>
                                <w:szCs w:val="20"/>
                              </w:rPr>
                            </w:pPr>
                          </w:p>
                          <w:p w14:paraId="6DE10B81" w14:textId="77777777" w:rsidR="003B5982" w:rsidRDefault="003B5982" w:rsidP="003B5982">
                            <w:pPr>
                              <w:spacing w:after="0"/>
                              <w:rPr>
                                <w:rFonts w:asciiTheme="minorHAnsi" w:hAnsiTheme="minorHAnsi" w:cstheme="minorBidi"/>
                                <w:sz w:val="22"/>
                                <w:szCs w:val="22"/>
                                <w:lang w:eastAsia="x-none"/>
                              </w:rPr>
                            </w:pPr>
                            <w:r>
                              <w:rPr>
                                <w:rFonts w:hint="eastAsia"/>
                                <w:highlight w:val="green"/>
                                <w:lang w:eastAsia="x-none"/>
                              </w:rPr>
                              <w:t>Agreement:</w:t>
                            </w:r>
                          </w:p>
                          <w:p w14:paraId="6D833A83" w14:textId="77777777" w:rsidR="003B5982" w:rsidRDefault="003B5982" w:rsidP="003B5982">
                            <w:pPr>
                              <w:spacing w:after="0"/>
                              <w:rPr>
                                <w:lang w:eastAsia="x-none"/>
                              </w:rPr>
                            </w:pPr>
                            <w:r>
                              <w:rPr>
                                <w:rFonts w:hint="eastAsia"/>
                                <w:lang w:eastAsia="x-none"/>
                              </w:rPr>
                              <w:t>UE determines serving cell timing from the detected SSB candidate position, where the SSB candidate positions within the DRS transmission window are indexed from 0,</w:t>
                            </w:r>
                            <w:r>
                              <w:rPr>
                                <w:rFonts w:hint="eastAsia"/>
                                <w:lang w:eastAsia="x-none"/>
                              </w:rPr>
                              <w:t>…</w:t>
                            </w:r>
                            <w:r>
                              <w:rPr>
                                <w:rFonts w:hint="eastAsia"/>
                                <w:lang w:eastAsia="x-none"/>
                              </w:rPr>
                              <w:t>,Y-1 (Y = 10 for 15 kHz SCS and Y = 20 for 30 kHz SCS).</w:t>
                            </w:r>
                          </w:p>
                          <w:p w14:paraId="5E68AE19" w14:textId="77777777" w:rsidR="003B5982" w:rsidRPr="00A72D36" w:rsidRDefault="003B5982" w:rsidP="003B5982">
                            <w:pPr>
                              <w:overflowPunct w:val="0"/>
                              <w:autoSpaceDE w:val="0"/>
                              <w:autoSpaceDN w:val="0"/>
                              <w:adjustRightInd w:val="0"/>
                              <w:spacing w:after="0"/>
                              <w:textAlignment w:val="baseline"/>
                              <w:rPr>
                                <w:rFonts w:ascii="Arial" w:hAnsi="Arial" w:cs="Arial"/>
                                <w:lang w:val="en-US"/>
                              </w:rPr>
                            </w:pPr>
                          </w:p>
                        </w:txbxContent>
                      </wps:txbx>
                      <wps:bodyPr rot="0" vert="horz" wrap="square" lIns="91440" tIns="45720" rIns="91440" bIns="45720" anchor="t" anchorCtr="0">
                        <a:noAutofit/>
                      </wps:bodyPr>
                    </wps:wsp>
                  </a:graphicData>
                </a:graphic>
              </wp:inline>
            </w:drawing>
          </mc:Choice>
          <mc:Fallback>
            <w:pict>
              <v:shapetype w14:anchorId="229EF133" id="_x0000_t202" coordsize="21600,21600" o:spt="202" path="m,l,21600r21600,l21600,xe">
                <v:stroke joinstyle="miter"/>
                <v:path gradientshapeok="t" o:connecttype="rect"/>
              </v:shapetype>
              <v:shape id="Text Box 1" o:spid="_x0000_s1026" type="#_x0000_t202" style="width:463.1pt;height:23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">
                <v:textbox>
                  <w:txbxContent>
                    <w:p w14:paraId="598A088E" w14:textId="77777777" w:rsidR="003B5982" w:rsidRDefault="003B5982" w:rsidP="003B5982">
                      <w:pPr>
                        <w:spacing w:after="0"/>
                        <w:rPr>
                          <w:rFonts w:eastAsia="Times New Roman"/>
                        </w:rPr>
                      </w:pPr>
                    </w:p>
                    <w:p w14:paraId="1F77217B" w14:textId="77777777" w:rsidR="003B5982" w:rsidRDefault="003B5982" w:rsidP="003B5982">
                      <w:pPr>
                        <w:spacing w:after="0"/>
                        <w:rPr>
                          <w:lang w:val="en-US" w:eastAsia="x-none"/>
                        </w:rPr>
                      </w:pPr>
                      <w:r>
                        <w:rPr>
                          <w:rFonts w:hint="eastAsia"/>
                          <w:highlight w:val="green"/>
                          <w:lang w:eastAsia="x-none"/>
                        </w:rPr>
                        <w:t>Agreement:</w:t>
                      </w:r>
                    </w:p>
                    <w:p w14:paraId="384C22C2" w14:textId="77777777" w:rsidR="003B5982" w:rsidRDefault="003B5982" w:rsidP="003B5982">
                      <w:pPr>
                        <w:spacing w:after="0"/>
                        <w:rPr>
                          <w:lang w:eastAsia="x-none"/>
                        </w:rPr>
                      </w:pPr>
                      <w:r>
                        <w:rPr>
                          <w:rFonts w:hint="eastAsia"/>
                          <w:lang w:eastAsia="x-none"/>
                        </w:rPr>
                        <w:t xml:space="preserve">The maximum DRS transmission window duration is 5 </w:t>
                      </w:r>
                      <w:proofErr w:type="spellStart"/>
                      <w:r>
                        <w:rPr>
                          <w:rFonts w:hint="eastAsia"/>
                          <w:lang w:eastAsia="x-none"/>
                        </w:rPr>
                        <w:t>ms</w:t>
                      </w:r>
                      <w:proofErr w:type="spellEnd"/>
                      <w:r>
                        <w:rPr>
                          <w:rFonts w:hint="eastAsia"/>
                          <w:lang w:eastAsia="x-none"/>
                        </w:rPr>
                        <w:t>.</w:t>
                      </w:r>
                    </w:p>
                    <w:p w14:paraId="5BDE335B" w14:textId="77777777" w:rsidR="003B5982" w:rsidRDefault="003B5982" w:rsidP="003B5982">
                      <w:pPr>
                        <w:numPr>
                          <w:ilvl w:val="0"/>
                          <w:numId w:val="34"/>
                        </w:numPr>
                        <w:spacing w:after="0" w:line="256" w:lineRule="auto"/>
                        <w:rPr>
                          <w:lang w:eastAsia="x-none"/>
                        </w:rPr>
                      </w:pPr>
                      <w:r>
                        <w:rPr>
                          <w:rFonts w:hint="eastAsia"/>
                          <w:lang w:eastAsia="x-none"/>
                        </w:rPr>
                        <w:t>The maximum number of candidate SSB positions within a DRS transmission window, Y, is selected as Y = 10 for 15 kHz SCS and Y = 20 for 30 kHz SCS.</w:t>
                      </w:r>
                    </w:p>
                    <w:p w14:paraId="766523D0" w14:textId="77777777" w:rsidR="003B5982" w:rsidRDefault="003B5982" w:rsidP="003B5982">
                      <w:pPr>
                        <w:numPr>
                          <w:ilvl w:val="1"/>
                          <w:numId w:val="34"/>
                        </w:numPr>
                        <w:spacing w:after="0" w:line="256" w:lineRule="auto"/>
                        <w:rPr>
                          <w:lang w:eastAsia="x-none"/>
                        </w:rPr>
                      </w:pPr>
                      <w:r>
                        <w:rPr>
                          <w:rFonts w:hint="eastAsia"/>
                          <w:lang w:eastAsia="x-none"/>
                        </w:rPr>
                        <w:t xml:space="preserve">Note: The number of starting points for DRS transmissions with the 5 </w:t>
                      </w:r>
                      <w:proofErr w:type="spellStart"/>
                      <w:r>
                        <w:rPr>
                          <w:rFonts w:hint="eastAsia"/>
                          <w:lang w:eastAsia="x-none"/>
                        </w:rPr>
                        <w:t>ms</w:t>
                      </w:r>
                      <w:proofErr w:type="spellEnd"/>
                      <w:r>
                        <w:rPr>
                          <w:rFonts w:hint="eastAsia"/>
                          <w:lang w:eastAsia="x-none"/>
                        </w:rPr>
                        <w:t xml:space="preserve"> window that can use a Cat. 2 LBT is to be discussed further as part of channel access discussions.</w:t>
                      </w:r>
                    </w:p>
                    <w:p w14:paraId="211BE923" w14:textId="77777777" w:rsidR="003B5982" w:rsidRDefault="003B5982" w:rsidP="003B5982">
                      <w:pPr>
                        <w:numPr>
                          <w:ilvl w:val="0"/>
                          <w:numId w:val="34"/>
                        </w:numPr>
                        <w:spacing w:after="0" w:line="256" w:lineRule="auto"/>
                        <w:rPr>
                          <w:lang w:eastAsia="x-none"/>
                        </w:rPr>
                      </w:pPr>
                      <w:r>
                        <w:rPr>
                          <w:rFonts w:hint="eastAsia"/>
                          <w:lang w:eastAsia="x-none"/>
                        </w:rPr>
                        <w:t>FFS: If the DRS transmission window is configurable, and if yes, how to configure and indicate the window, including the range of configurable values.</w:t>
                      </w:r>
                    </w:p>
                    <w:p w14:paraId="46CB9FE2" w14:textId="77777777" w:rsidR="003B5982" w:rsidRDefault="003B5982" w:rsidP="003B5982">
                      <w:pPr>
                        <w:spacing w:after="0"/>
                        <w:rPr>
                          <w:highlight w:val="green"/>
                          <w:lang w:eastAsia="x-none"/>
                        </w:rPr>
                      </w:pPr>
                    </w:p>
                    <w:p w14:paraId="0CC17579" w14:textId="77777777" w:rsidR="003B5982" w:rsidRDefault="003B5982" w:rsidP="003B5982">
                      <w:pPr>
                        <w:spacing w:after="0"/>
                        <w:rPr>
                          <w:lang w:eastAsia="x-none"/>
                        </w:rPr>
                      </w:pPr>
                      <w:r>
                        <w:rPr>
                          <w:rFonts w:hint="eastAsia"/>
                          <w:highlight w:val="green"/>
                          <w:lang w:eastAsia="x-none"/>
                        </w:rPr>
                        <w:t>Agreement:</w:t>
                      </w:r>
                      <w:r>
                        <w:rPr>
                          <w:rFonts w:hint="eastAsia"/>
                          <w:lang w:eastAsia="x-none"/>
                        </w:rPr>
                        <w:t xml:space="preserve"> </w:t>
                      </w:r>
                    </w:p>
                    <w:p w14:paraId="74C46AA9" w14:textId="77777777" w:rsidR="003B5982" w:rsidRDefault="003B5982" w:rsidP="003B5982">
                      <w:pPr>
                        <w:spacing w:after="0"/>
                        <w:rPr>
                          <w:lang w:eastAsia="x-none"/>
                        </w:rPr>
                      </w:pPr>
                      <w:r>
                        <w:rPr>
                          <w:rFonts w:hint="eastAsia"/>
                          <w:lang w:eastAsia="x-none"/>
                        </w:rPr>
                        <w:t>For a given cell, the UE may assume that the PBCH DMRS sequence index is the same for SS/PBCH blocks that are transmitted at the same candidate positions across DRS transmission windows.</w:t>
                      </w:r>
                    </w:p>
                    <w:p w14:paraId="2E3CCF14" w14:textId="77777777" w:rsidR="003B5982" w:rsidRDefault="003B5982" w:rsidP="003B5982">
                      <w:pPr>
                        <w:pStyle w:val="notes"/>
                        <w:rPr>
                          <w:rFonts w:ascii="Times New Roman" w:hAnsi="Times New Roman" w:cs="Times New Roman"/>
                          <w:sz w:val="20"/>
                          <w:szCs w:val="20"/>
                        </w:rPr>
                      </w:pPr>
                    </w:p>
                    <w:p w14:paraId="6DE10B81" w14:textId="77777777" w:rsidR="003B5982" w:rsidRDefault="003B5982" w:rsidP="003B5982">
                      <w:pPr>
                        <w:spacing w:after="0"/>
                        <w:rPr>
                          <w:rFonts w:asciiTheme="minorHAnsi" w:hAnsiTheme="minorHAnsi" w:cstheme="minorBidi"/>
                          <w:sz w:val="22"/>
                          <w:szCs w:val="22"/>
                          <w:lang w:eastAsia="x-none"/>
                        </w:rPr>
                      </w:pPr>
                      <w:r>
                        <w:rPr>
                          <w:rFonts w:hint="eastAsia"/>
                          <w:highlight w:val="green"/>
                          <w:lang w:eastAsia="x-none"/>
                        </w:rPr>
                        <w:t>Agreement:</w:t>
                      </w:r>
                    </w:p>
                    <w:p w14:paraId="6D833A83" w14:textId="77777777" w:rsidR="003B5982" w:rsidRDefault="003B5982" w:rsidP="003B5982">
                      <w:pPr>
                        <w:spacing w:after="0"/>
                        <w:rPr>
                          <w:lang w:eastAsia="x-none"/>
                        </w:rPr>
                      </w:pPr>
                      <w:r>
                        <w:rPr>
                          <w:rFonts w:hint="eastAsia"/>
                          <w:lang w:eastAsia="x-none"/>
                        </w:rPr>
                        <w:t>UE determines serving cell timing from the detected SSB candidate position, where the SSB candidate positions within the DRS transmission window are indexed from 0,</w:t>
                      </w:r>
                      <w:r>
                        <w:rPr>
                          <w:rFonts w:hint="eastAsia"/>
                          <w:lang w:eastAsia="x-none"/>
                        </w:rPr>
                        <w:t>…</w:t>
                      </w:r>
                      <w:r>
                        <w:rPr>
                          <w:rFonts w:hint="eastAsia"/>
                          <w:lang w:eastAsia="x-none"/>
                        </w:rPr>
                        <w:t>,Y-1 (Y = 10 for 15 kHz SCS and Y = 20 for 30 kHz SCS).</w:t>
                      </w:r>
                    </w:p>
                    <w:p w14:paraId="5E68AE19" w14:textId="77777777" w:rsidR="003B5982" w:rsidRPr="00A72D36" w:rsidRDefault="003B5982" w:rsidP="003B5982">
                      <w:pPr>
                        <w:overflowPunct w:val="0"/>
                        <w:autoSpaceDE w:val="0"/>
                        <w:autoSpaceDN w:val="0"/>
                        <w:adjustRightInd w:val="0"/>
                        <w:spacing w:after="0"/>
                        <w:textAlignment w:val="baseline"/>
                        <w:rPr>
                          <w:rFonts w:ascii="Arial" w:hAnsi="Arial" w:cs="Arial"/>
                          <w:lang w:val="en-US"/>
                        </w:rPr>
                      </w:pPr>
                    </w:p>
                  </w:txbxContent>
                </v:textbox>
                <w10:anchorlock/>
              </v:shape>
            </w:pict>
          </mc:Fallback>
        </mc:AlternateContent>
      </w:r>
    </w:p>
    <w:p w14:paraId="5D1AC859" w14:textId="77777777" w:rsidR="003B5982" w:rsidRPr="00456AB6" w:rsidRDefault="003B5982" w:rsidP="00AC2ADB">
      <w:pPr>
        <w:rPr>
          <w:b/>
          <w:bCs/>
          <w:lang w:val="en-US"/>
        </w:rPr>
      </w:pPr>
    </w:p>
    <w:p w14:paraId="1031AACC" w14:textId="30C9B4A7" w:rsidR="003B5982" w:rsidRDefault="00E44397" w:rsidP="00C8056F">
      <w:pPr>
        <w:rPr>
          <w:lang w:val="en-US"/>
        </w:rPr>
      </w:pPr>
      <w:r>
        <w:rPr>
          <w:lang w:val="en-US"/>
        </w:rPr>
        <w:lastRenderedPageBreak/>
        <w:t>A</w:t>
      </w:r>
      <w:r w:rsidR="003B5982">
        <w:rPr>
          <w:lang w:val="en-US"/>
        </w:rPr>
        <w:t xml:space="preserve"> key observation is that maximum length of DMTC window is 5ms but it may also be possible to configure DMTC window length to be less than 5ms</w:t>
      </w:r>
      <w:r w:rsidR="00A63618">
        <w:rPr>
          <w:lang w:val="en-US"/>
        </w:rPr>
        <w:t xml:space="preserve"> when gNB does not have many DL beams</w:t>
      </w:r>
      <w:r w:rsidR="003B5982">
        <w:rPr>
          <w:lang w:val="en-US"/>
        </w:rPr>
        <w:t xml:space="preserve">. However, </w:t>
      </w:r>
      <w:r w:rsidR="00A63618">
        <w:rPr>
          <w:lang w:val="en-US"/>
        </w:rPr>
        <w:t xml:space="preserve">informing UE of </w:t>
      </w:r>
      <w:r w:rsidR="003B5982">
        <w:rPr>
          <w:lang w:val="en-US"/>
        </w:rPr>
        <w:t xml:space="preserve">shorter window length will only be possible after RRC connection. Hence, in initial access, UE may assume the max length of 5ms. </w:t>
      </w:r>
    </w:p>
    <w:p w14:paraId="3BE03F1E" w14:textId="491F2046" w:rsidR="003B5982" w:rsidRPr="003B5982" w:rsidRDefault="003B5982" w:rsidP="003B5982">
      <w:pPr>
        <w:rPr>
          <w:b/>
          <w:bCs/>
          <w:lang w:val="en-US"/>
        </w:rPr>
      </w:pPr>
      <w:r w:rsidRPr="003B5982">
        <w:rPr>
          <w:b/>
          <w:bCs/>
          <w:lang w:val="en-US"/>
        </w:rPr>
        <w:t>Observation 2. Maximum length of DMTC window is 5ms. Shorter window length length</w:t>
      </w:r>
      <w:r w:rsidR="00A63618">
        <w:rPr>
          <w:b/>
          <w:bCs/>
          <w:lang w:val="en-US"/>
        </w:rPr>
        <w:t xml:space="preserve"> may be possible when gNB does not have many DL beams. Informing UE of shorter DMTC window</w:t>
      </w:r>
      <w:r w:rsidRPr="003B5982">
        <w:rPr>
          <w:b/>
          <w:bCs/>
          <w:lang w:val="en-US"/>
        </w:rPr>
        <w:t xml:space="preserve"> will only be possible after RRC connection. In initial access, UE may assume the max length of 5ms. </w:t>
      </w:r>
    </w:p>
    <w:p w14:paraId="0E52F56E" w14:textId="25C97E8B" w:rsidR="003B5982" w:rsidRDefault="00E44397" w:rsidP="00C8056F">
      <w:pPr>
        <w:rPr>
          <w:lang w:val="en-US"/>
        </w:rPr>
      </w:pPr>
      <w:r>
        <w:rPr>
          <w:lang w:val="en-US"/>
        </w:rPr>
        <w:t xml:space="preserve">In LTE LAA (FS3), some of the RRM requirements that depend on signal availability are extended by addition of the number of times the DRS is not available at the UE during the time period where the RRM function is being executed. SCell activation delay requirements (clause 7.7.10 [2]) and DRS measurements (clause 8.11) can be named as examples. </w:t>
      </w:r>
      <w:r w:rsidR="005D6C40">
        <w:rPr>
          <w:lang w:val="en-US"/>
        </w:rPr>
        <w:t xml:space="preserve">Moreover, in some delay requirements (e.g., DRS measurements in clause 8.11), no requirements are applicable if the number of missing DRS exceeds a max value. </w:t>
      </w:r>
      <w:r>
        <w:rPr>
          <w:lang w:val="en-US"/>
        </w:rPr>
        <w:t xml:space="preserve">We believe the same methodology can be used for NR-U RRM requirements when appropriate. Measurement accuracy (RSRP, RSRQ,…) is one of the cases where this methodology is not appropriate. </w:t>
      </w:r>
    </w:p>
    <w:p w14:paraId="0A13BCC9" w14:textId="63B58499" w:rsidR="00E44397" w:rsidRPr="00E44397" w:rsidRDefault="00E44397" w:rsidP="00C8056F">
      <w:pPr>
        <w:rPr>
          <w:b/>
          <w:bCs/>
          <w:lang w:val="en-US"/>
        </w:rPr>
      </w:pPr>
      <w:r w:rsidRPr="00E44397">
        <w:rPr>
          <w:b/>
          <w:bCs/>
          <w:lang w:val="en-US"/>
        </w:rPr>
        <w:t>Observation 3. In LTE LAA (FS3), some of the RRM requirements that depend on signal availability are extended by addition of the number of times the DRS is not available at the UE during the time period where the RRM function is being executed.</w:t>
      </w:r>
      <w:r w:rsidR="005D6C40">
        <w:rPr>
          <w:b/>
          <w:bCs/>
          <w:lang w:val="en-US"/>
        </w:rPr>
        <w:t xml:space="preserve"> Moreover, some RRM requirements are not applicable if the number of missing DRS exceeds a max value. </w:t>
      </w:r>
    </w:p>
    <w:p w14:paraId="466B665E" w14:textId="1B0EBAA6" w:rsidR="00E44397" w:rsidRPr="00E44397" w:rsidRDefault="00E44397" w:rsidP="00C8056F">
      <w:pPr>
        <w:rPr>
          <w:b/>
          <w:bCs/>
          <w:lang w:val="en-US"/>
        </w:rPr>
      </w:pPr>
      <w:r w:rsidRPr="00E44397">
        <w:rPr>
          <w:b/>
          <w:bCs/>
          <w:lang w:val="en-US"/>
        </w:rPr>
        <w:t xml:space="preserve">Proposal 1. RAN4 to adopt the same methodology as in LTE LAA </w:t>
      </w:r>
      <w:r w:rsidR="005D6C40">
        <w:rPr>
          <w:b/>
          <w:bCs/>
          <w:lang w:val="en-US"/>
        </w:rPr>
        <w:t xml:space="preserve">(extension of delay requirements by the number of occasions the signal is not available) </w:t>
      </w:r>
      <w:r w:rsidRPr="00E44397">
        <w:rPr>
          <w:b/>
          <w:bCs/>
          <w:lang w:val="en-US"/>
        </w:rPr>
        <w:t xml:space="preserve">for NR-U RRM requirements when appropriate. </w:t>
      </w:r>
    </w:p>
    <w:p w14:paraId="5B5A02E0" w14:textId="0913F37E" w:rsidR="00115E3D" w:rsidRDefault="00B14B66" w:rsidP="00C8056F">
      <w:pPr>
        <w:rPr>
          <w:lang w:val="en-US"/>
        </w:rPr>
      </w:pPr>
      <w:r>
        <w:rPr>
          <w:lang w:val="en-US"/>
        </w:rPr>
        <w:t>T</w:t>
      </w:r>
      <w:r w:rsidR="00CF6C71">
        <w:rPr>
          <w:lang w:val="en-US"/>
        </w:rPr>
        <w:t xml:space="preserve">he RRM requirements related to non-NR-U carriers or cells being listed in [1] should not depend on signal availability and therefore should remain the same as existing requirements. </w:t>
      </w:r>
      <w:r w:rsidR="00115E3D">
        <w:rPr>
          <w:lang w:val="en-US"/>
        </w:rPr>
        <w:t>The following are a few</w:t>
      </w:r>
      <w:r w:rsidR="00C513F4">
        <w:rPr>
          <w:lang w:val="en-US"/>
        </w:rPr>
        <w:t xml:space="preserve"> </w:t>
      </w:r>
      <w:r w:rsidR="006C501B">
        <w:rPr>
          <w:lang w:val="en-US"/>
        </w:rPr>
        <w:t>example</w:t>
      </w:r>
      <w:r w:rsidR="00C513F4">
        <w:rPr>
          <w:lang w:val="en-US"/>
        </w:rPr>
        <w:t>s</w:t>
      </w:r>
      <w:r w:rsidR="00115E3D">
        <w:rPr>
          <w:lang w:val="en-US"/>
        </w:rPr>
        <w:t>:</w:t>
      </w:r>
    </w:p>
    <w:p w14:paraId="6F82EAB5" w14:textId="62C4AC45" w:rsidR="00115E3D" w:rsidRPr="00115E3D" w:rsidRDefault="00115E3D" w:rsidP="00115E3D">
      <w:pPr>
        <w:pStyle w:val="ListParagraph"/>
        <w:numPr>
          <w:ilvl w:val="0"/>
          <w:numId w:val="35"/>
        </w:numPr>
        <w:rPr>
          <w:sz w:val="20"/>
          <w:szCs w:val="20"/>
        </w:rPr>
      </w:pPr>
      <w:r w:rsidRPr="00115E3D">
        <w:rPr>
          <w:sz w:val="20"/>
          <w:szCs w:val="20"/>
        </w:rPr>
        <w:t>R</w:t>
      </w:r>
      <w:r w:rsidR="006C501B" w:rsidRPr="00115E3D">
        <w:rPr>
          <w:sz w:val="20"/>
          <w:szCs w:val="20"/>
        </w:rPr>
        <w:t>eselection from NR-U PCell to NR/LTE cell</w:t>
      </w:r>
      <w:r w:rsidRPr="00115E3D">
        <w:rPr>
          <w:sz w:val="20"/>
          <w:szCs w:val="20"/>
        </w:rPr>
        <w:t>s</w:t>
      </w:r>
    </w:p>
    <w:p w14:paraId="2A6F5F85" w14:textId="77777777" w:rsidR="00115E3D" w:rsidRPr="00115E3D" w:rsidRDefault="00C513F4" w:rsidP="00115E3D">
      <w:pPr>
        <w:pStyle w:val="ListParagraph"/>
        <w:numPr>
          <w:ilvl w:val="0"/>
          <w:numId w:val="35"/>
        </w:numPr>
        <w:rPr>
          <w:sz w:val="20"/>
          <w:szCs w:val="20"/>
        </w:rPr>
      </w:pPr>
      <w:r w:rsidRPr="00115E3D">
        <w:rPr>
          <w:sz w:val="20"/>
          <w:szCs w:val="20"/>
        </w:rPr>
        <w:t>HO to NR/LTE cells</w:t>
      </w:r>
    </w:p>
    <w:p w14:paraId="4E6739F9" w14:textId="77777777" w:rsidR="00115E3D" w:rsidRPr="00115E3D" w:rsidRDefault="00115E3D" w:rsidP="00115E3D">
      <w:pPr>
        <w:pStyle w:val="ListParagraph"/>
        <w:numPr>
          <w:ilvl w:val="0"/>
          <w:numId w:val="35"/>
        </w:numPr>
        <w:rPr>
          <w:sz w:val="20"/>
          <w:szCs w:val="20"/>
        </w:rPr>
      </w:pPr>
      <w:r w:rsidRPr="00115E3D">
        <w:rPr>
          <w:sz w:val="20"/>
          <w:szCs w:val="20"/>
        </w:rPr>
        <w:t>Interruptions due to operations in non-NR-U serving cell (scenario A and B)</w:t>
      </w:r>
      <w:r w:rsidR="00C513F4" w:rsidRPr="00115E3D">
        <w:rPr>
          <w:sz w:val="20"/>
          <w:szCs w:val="20"/>
        </w:rPr>
        <w:t xml:space="preserve"> </w:t>
      </w:r>
    </w:p>
    <w:p w14:paraId="328563B4" w14:textId="477E2BE8" w:rsidR="00C8056F" w:rsidRDefault="006C501B" w:rsidP="00115E3D">
      <w:r w:rsidRPr="00115E3D">
        <w:t xml:space="preserve"> </w:t>
      </w:r>
    </w:p>
    <w:p w14:paraId="4C0ECB5E" w14:textId="6DACF4CE" w:rsidR="00C8056F" w:rsidRDefault="00115E3D" w:rsidP="00C8056F">
      <w:pPr>
        <w:rPr>
          <w:b/>
          <w:bCs/>
        </w:rPr>
      </w:pPr>
      <w:r>
        <w:rPr>
          <w:b/>
          <w:bCs/>
        </w:rPr>
        <w:t>Proposal</w:t>
      </w:r>
      <w:r w:rsidR="00C8056F" w:rsidRPr="00456AB6">
        <w:rPr>
          <w:b/>
          <w:bCs/>
        </w:rPr>
        <w:t xml:space="preserve"> </w:t>
      </w:r>
      <w:r>
        <w:rPr>
          <w:b/>
          <w:bCs/>
        </w:rPr>
        <w:t>2</w:t>
      </w:r>
      <w:r w:rsidR="00C8056F" w:rsidRPr="00456AB6">
        <w:rPr>
          <w:b/>
          <w:bCs/>
        </w:rPr>
        <w:t xml:space="preserve">. The RRM requirements related to non-NR-U carriers or cells do not depend on signal availability and therefore should remain the same as existing requirements. </w:t>
      </w:r>
      <w:r>
        <w:rPr>
          <w:b/>
          <w:bCs/>
        </w:rPr>
        <w:t>The following are a few examples:</w:t>
      </w:r>
    </w:p>
    <w:p w14:paraId="78A76017" w14:textId="77777777" w:rsidR="00115E3D" w:rsidRPr="00115E3D" w:rsidRDefault="00115E3D" w:rsidP="00115E3D">
      <w:pPr>
        <w:pStyle w:val="ListParagraph"/>
        <w:numPr>
          <w:ilvl w:val="0"/>
          <w:numId w:val="35"/>
        </w:numPr>
        <w:rPr>
          <w:b/>
          <w:bCs/>
          <w:sz w:val="20"/>
          <w:szCs w:val="20"/>
        </w:rPr>
      </w:pPr>
      <w:r w:rsidRPr="00115E3D">
        <w:rPr>
          <w:b/>
          <w:bCs/>
          <w:sz w:val="20"/>
          <w:szCs w:val="20"/>
        </w:rPr>
        <w:t>Reselection from NR-U PCell to NR/LTE cells</w:t>
      </w:r>
    </w:p>
    <w:p w14:paraId="481E54E1" w14:textId="77777777" w:rsidR="00115E3D" w:rsidRPr="00115E3D" w:rsidRDefault="00115E3D" w:rsidP="00115E3D">
      <w:pPr>
        <w:pStyle w:val="ListParagraph"/>
        <w:numPr>
          <w:ilvl w:val="0"/>
          <w:numId w:val="35"/>
        </w:numPr>
        <w:rPr>
          <w:b/>
          <w:bCs/>
          <w:sz w:val="20"/>
          <w:szCs w:val="20"/>
        </w:rPr>
      </w:pPr>
      <w:r w:rsidRPr="00115E3D">
        <w:rPr>
          <w:b/>
          <w:bCs/>
          <w:sz w:val="20"/>
          <w:szCs w:val="20"/>
        </w:rPr>
        <w:t>HO to NR/LTE cells</w:t>
      </w:r>
    </w:p>
    <w:p w14:paraId="4EAB25C3" w14:textId="77777777" w:rsidR="00115E3D" w:rsidRPr="00115E3D" w:rsidRDefault="00115E3D" w:rsidP="00115E3D">
      <w:pPr>
        <w:pStyle w:val="ListParagraph"/>
        <w:numPr>
          <w:ilvl w:val="0"/>
          <w:numId w:val="35"/>
        </w:numPr>
        <w:rPr>
          <w:b/>
          <w:bCs/>
          <w:sz w:val="20"/>
          <w:szCs w:val="20"/>
        </w:rPr>
      </w:pPr>
      <w:r w:rsidRPr="00115E3D">
        <w:rPr>
          <w:b/>
          <w:bCs/>
          <w:sz w:val="20"/>
          <w:szCs w:val="20"/>
        </w:rPr>
        <w:t xml:space="preserve">Interruptions due to operations in non-NR-U serving cell (scenario A and B) </w:t>
      </w:r>
    </w:p>
    <w:p w14:paraId="007E2BC2" w14:textId="5D70D295" w:rsidR="00115E3D" w:rsidRDefault="00115E3D" w:rsidP="00C8056F">
      <w:pPr>
        <w:rPr>
          <w:b/>
          <w:bCs/>
        </w:rPr>
      </w:pPr>
    </w:p>
    <w:p w14:paraId="086738EB" w14:textId="36242D4A" w:rsidR="00703ABC" w:rsidRDefault="00703ABC" w:rsidP="00C8056F">
      <w:r>
        <w:t xml:space="preserve">Some of the RRM requirements outlined in [1] do not depend on signal availability and there is no reason to believe they cannot be applied to NR-U. For instance, active BWP switching delay (clause 8.6 of [4]) and interruptions (clauses 8.2.1.2.7 </w:t>
      </w:r>
      <w:r w:rsidR="00F85A5A">
        <w:t xml:space="preserve">for scenario B </w:t>
      </w:r>
      <w:r>
        <w:t>and 8.2.2.2.5 of [4]</w:t>
      </w:r>
      <w:r w:rsidR="00F85A5A">
        <w:t xml:space="preserve"> for scenarios A/C</w:t>
      </w:r>
      <w:r>
        <w:t>) requirements in FR1 still apply to NR-U and no new requirements are needed.</w:t>
      </w:r>
    </w:p>
    <w:p w14:paraId="4C4B859B" w14:textId="1B5A9823" w:rsidR="00B14B66" w:rsidRPr="00703ABC" w:rsidRDefault="00703ABC" w:rsidP="00C8056F">
      <w:pPr>
        <w:rPr>
          <w:b/>
          <w:bCs/>
        </w:rPr>
      </w:pPr>
      <w:r w:rsidRPr="00703ABC">
        <w:rPr>
          <w:b/>
          <w:bCs/>
        </w:rPr>
        <w:t xml:space="preserve">Proposal 3.  Active BWP switching delay (clause 8.6 of [4]) and interruptions (clauses 8.2.1.2.7 </w:t>
      </w:r>
      <w:r w:rsidR="00F85A5A" w:rsidRPr="00F85A5A">
        <w:rPr>
          <w:b/>
          <w:bCs/>
        </w:rPr>
        <w:t>for scenario B</w:t>
      </w:r>
      <w:r w:rsidR="00F85A5A">
        <w:t xml:space="preserve"> </w:t>
      </w:r>
      <w:r w:rsidRPr="00703ABC">
        <w:rPr>
          <w:b/>
          <w:bCs/>
        </w:rPr>
        <w:t>and 8.2.2.2.5 of [4]</w:t>
      </w:r>
      <w:r w:rsidR="00F85A5A">
        <w:rPr>
          <w:b/>
          <w:bCs/>
        </w:rPr>
        <w:t xml:space="preserve"> for scenarios A/C</w:t>
      </w:r>
      <w:r w:rsidRPr="00703ABC">
        <w:rPr>
          <w:b/>
          <w:bCs/>
        </w:rPr>
        <w:t>) requirements in FR1 still apply to NR-U and no new requirements are needed.</w:t>
      </w:r>
    </w:p>
    <w:p w14:paraId="05109B46" w14:textId="11BB85B5" w:rsidR="00F2107A" w:rsidRDefault="0032488E" w:rsidP="005D6C7D">
      <w:pPr>
        <w:pStyle w:val="Heading1"/>
        <w:rPr>
          <w:lang w:val="en-US"/>
        </w:rPr>
      </w:pPr>
      <w:r>
        <w:rPr>
          <w:lang w:val="en-US"/>
        </w:rPr>
        <w:t>Con</w:t>
      </w:r>
      <w:r w:rsidR="00F2107A">
        <w:rPr>
          <w:lang w:val="en-US"/>
        </w:rPr>
        <w:t>clusions</w:t>
      </w:r>
    </w:p>
    <w:p w14:paraId="7C42C678" w14:textId="77777777" w:rsidR="00E15AEF" w:rsidRDefault="00E15AEF" w:rsidP="00E15AEF">
      <w:pPr>
        <w:rPr>
          <w:b/>
          <w:bCs/>
          <w:lang w:val="en-US"/>
        </w:rPr>
      </w:pPr>
      <w:r w:rsidRPr="00456AB6">
        <w:rPr>
          <w:b/>
          <w:bCs/>
          <w:lang w:val="en-US"/>
        </w:rPr>
        <w:t>Observation 1. Similar to LTE LAA, in NR-U, UE is expected to perform operations related to RRM based on RS availability in DMTC.</w:t>
      </w:r>
      <w:r>
        <w:rPr>
          <w:b/>
          <w:bCs/>
          <w:lang w:val="en-US"/>
        </w:rPr>
        <w:t xml:space="preserve"> Most, if not all, RRM requirements for NR-U can be based on DMTC instead of SMTC.</w:t>
      </w:r>
    </w:p>
    <w:p w14:paraId="06728ACA" w14:textId="77777777" w:rsidR="00C02222" w:rsidRPr="003B5982" w:rsidRDefault="00C02222" w:rsidP="00C02222">
      <w:pPr>
        <w:rPr>
          <w:b/>
          <w:bCs/>
          <w:lang w:val="en-US"/>
        </w:rPr>
      </w:pPr>
      <w:r w:rsidRPr="003B5982">
        <w:rPr>
          <w:b/>
          <w:bCs/>
          <w:lang w:val="en-US"/>
        </w:rPr>
        <w:t>Observation 2. Maximum length of DMTC window is 5ms. Shorter window length length</w:t>
      </w:r>
      <w:r>
        <w:rPr>
          <w:b/>
          <w:bCs/>
          <w:lang w:val="en-US"/>
        </w:rPr>
        <w:t xml:space="preserve"> may be possible when gNB does not have many DL beams. Informing UE of shorter DMTC window</w:t>
      </w:r>
      <w:r w:rsidRPr="003B5982">
        <w:rPr>
          <w:b/>
          <w:bCs/>
          <w:lang w:val="en-US"/>
        </w:rPr>
        <w:t xml:space="preserve"> will only be possible after RRC connection. In initial access, UE may assume the max length of 5ms. </w:t>
      </w:r>
    </w:p>
    <w:p w14:paraId="6599DD1C" w14:textId="6E91370C" w:rsidR="00E15AEF" w:rsidRPr="00E44397" w:rsidRDefault="00E15AEF" w:rsidP="00E15AEF">
      <w:pPr>
        <w:rPr>
          <w:b/>
          <w:bCs/>
          <w:lang w:val="en-US"/>
        </w:rPr>
      </w:pPr>
      <w:r w:rsidRPr="00E44397">
        <w:rPr>
          <w:b/>
          <w:bCs/>
          <w:lang w:val="en-US"/>
        </w:rPr>
        <w:t xml:space="preserve">Observation 3. In LTE LAA (FS3), some of the RRM requirements that depend on signal availability are extended by addition of the number of times the DRS is not available at the UE during the time period where </w:t>
      </w:r>
      <w:r w:rsidRPr="00E44397">
        <w:rPr>
          <w:b/>
          <w:bCs/>
          <w:lang w:val="en-US"/>
        </w:rPr>
        <w:lastRenderedPageBreak/>
        <w:t>the RRM function is being executed.</w:t>
      </w:r>
      <w:r w:rsidR="005D6C40">
        <w:rPr>
          <w:b/>
          <w:bCs/>
          <w:lang w:val="en-US"/>
        </w:rPr>
        <w:t xml:space="preserve"> Moreover, some RRM requirements are not applicable if the number of missing DRS exceeds a max value. </w:t>
      </w:r>
    </w:p>
    <w:p w14:paraId="3110698F" w14:textId="77777777" w:rsidR="005D6C40" w:rsidRPr="00E44397" w:rsidRDefault="005D6C40" w:rsidP="005D6C40">
      <w:pPr>
        <w:rPr>
          <w:b/>
          <w:bCs/>
          <w:lang w:val="en-US"/>
        </w:rPr>
      </w:pPr>
      <w:r w:rsidRPr="00E44397">
        <w:rPr>
          <w:b/>
          <w:bCs/>
          <w:lang w:val="en-US"/>
        </w:rPr>
        <w:t xml:space="preserve">Proposal 1. RAN4 to adopt the same methodology as in LTE LAA </w:t>
      </w:r>
      <w:r>
        <w:rPr>
          <w:b/>
          <w:bCs/>
          <w:lang w:val="en-US"/>
        </w:rPr>
        <w:t xml:space="preserve">(extension of delay requirements by the number of occasions the signal is not available) </w:t>
      </w:r>
      <w:r w:rsidRPr="00E44397">
        <w:rPr>
          <w:b/>
          <w:bCs/>
          <w:lang w:val="en-US"/>
        </w:rPr>
        <w:t xml:space="preserve">for NR-U RRM requirements when appropriate. </w:t>
      </w:r>
    </w:p>
    <w:p w14:paraId="32DB0943" w14:textId="77777777" w:rsidR="007D1881" w:rsidRDefault="007D1881" w:rsidP="007D1881">
      <w:pPr>
        <w:rPr>
          <w:b/>
          <w:bCs/>
        </w:rPr>
      </w:pPr>
      <w:r>
        <w:rPr>
          <w:b/>
          <w:bCs/>
        </w:rPr>
        <w:t>Proposal</w:t>
      </w:r>
      <w:r w:rsidRPr="00456AB6">
        <w:rPr>
          <w:b/>
          <w:bCs/>
        </w:rPr>
        <w:t xml:space="preserve"> </w:t>
      </w:r>
      <w:r>
        <w:rPr>
          <w:b/>
          <w:bCs/>
        </w:rPr>
        <w:t>2</w:t>
      </w:r>
      <w:r w:rsidRPr="00456AB6">
        <w:rPr>
          <w:b/>
          <w:bCs/>
        </w:rPr>
        <w:t xml:space="preserve">. The RRM requirements related to non-NR-U carriers or cells do not depend on signal availability and therefore should remain the same as existing requirements. </w:t>
      </w:r>
      <w:r>
        <w:rPr>
          <w:b/>
          <w:bCs/>
        </w:rPr>
        <w:t>The following are a few examples:</w:t>
      </w:r>
    </w:p>
    <w:p w14:paraId="17FF237D" w14:textId="77777777" w:rsidR="007D1881" w:rsidRPr="00115E3D" w:rsidRDefault="007D1881" w:rsidP="007D1881">
      <w:pPr>
        <w:pStyle w:val="ListParagraph"/>
        <w:numPr>
          <w:ilvl w:val="0"/>
          <w:numId w:val="35"/>
        </w:numPr>
        <w:rPr>
          <w:b/>
          <w:bCs/>
          <w:sz w:val="20"/>
          <w:szCs w:val="20"/>
        </w:rPr>
      </w:pPr>
      <w:r w:rsidRPr="00115E3D">
        <w:rPr>
          <w:b/>
          <w:bCs/>
          <w:sz w:val="20"/>
          <w:szCs w:val="20"/>
        </w:rPr>
        <w:t>Reselection from NR-U PCell to NR/LTE cells</w:t>
      </w:r>
    </w:p>
    <w:p w14:paraId="320130B7" w14:textId="77777777" w:rsidR="007D1881" w:rsidRPr="00115E3D" w:rsidRDefault="007D1881" w:rsidP="007D1881">
      <w:pPr>
        <w:pStyle w:val="ListParagraph"/>
        <w:numPr>
          <w:ilvl w:val="0"/>
          <w:numId w:val="35"/>
        </w:numPr>
        <w:rPr>
          <w:b/>
          <w:bCs/>
          <w:sz w:val="20"/>
          <w:szCs w:val="20"/>
        </w:rPr>
      </w:pPr>
      <w:r w:rsidRPr="00115E3D">
        <w:rPr>
          <w:b/>
          <w:bCs/>
          <w:sz w:val="20"/>
          <w:szCs w:val="20"/>
        </w:rPr>
        <w:t>HO to NR/LTE cells</w:t>
      </w:r>
    </w:p>
    <w:p w14:paraId="72B6A472" w14:textId="77777777" w:rsidR="007D1881" w:rsidRPr="00115E3D" w:rsidRDefault="007D1881" w:rsidP="007D1881">
      <w:pPr>
        <w:pStyle w:val="ListParagraph"/>
        <w:numPr>
          <w:ilvl w:val="0"/>
          <w:numId w:val="35"/>
        </w:numPr>
        <w:rPr>
          <w:b/>
          <w:bCs/>
          <w:sz w:val="20"/>
          <w:szCs w:val="20"/>
        </w:rPr>
      </w:pPr>
      <w:r w:rsidRPr="00115E3D">
        <w:rPr>
          <w:b/>
          <w:bCs/>
          <w:sz w:val="20"/>
          <w:szCs w:val="20"/>
        </w:rPr>
        <w:t xml:space="preserve">Interruptions due to operations in non-NR-U serving cell (scenario A and B) </w:t>
      </w:r>
    </w:p>
    <w:p w14:paraId="62053157" w14:textId="496D2019" w:rsidR="00E15AEF" w:rsidRDefault="00E15AEF" w:rsidP="00E15AEF">
      <w:pPr>
        <w:rPr>
          <w:lang w:val="en-US"/>
        </w:rPr>
      </w:pPr>
    </w:p>
    <w:p w14:paraId="444D07B4" w14:textId="77777777" w:rsidR="00F85A5A" w:rsidRPr="00703ABC" w:rsidRDefault="00F85A5A" w:rsidP="00F85A5A">
      <w:pPr>
        <w:rPr>
          <w:b/>
          <w:bCs/>
        </w:rPr>
      </w:pPr>
      <w:r w:rsidRPr="00703ABC">
        <w:rPr>
          <w:b/>
          <w:bCs/>
        </w:rPr>
        <w:t xml:space="preserve">Proposal 3.  Active BWP switching delay (clause 8.6 of [4]) and interruptions (clauses 8.2.1.2.7 </w:t>
      </w:r>
      <w:r w:rsidRPr="00F85A5A">
        <w:rPr>
          <w:b/>
          <w:bCs/>
        </w:rPr>
        <w:t>for scenario B</w:t>
      </w:r>
      <w:r>
        <w:t xml:space="preserve"> </w:t>
      </w:r>
      <w:r w:rsidRPr="00703ABC">
        <w:rPr>
          <w:b/>
          <w:bCs/>
        </w:rPr>
        <w:t>and 8.2.2.2.5 of [4]</w:t>
      </w:r>
      <w:r>
        <w:rPr>
          <w:b/>
          <w:bCs/>
        </w:rPr>
        <w:t xml:space="preserve"> for scenarios A/C</w:t>
      </w:r>
      <w:r w:rsidRPr="00703ABC">
        <w:rPr>
          <w:b/>
          <w:bCs/>
        </w:rPr>
        <w:t>) requirements in FR1 still apply to NR-U and no new requirements are needed.</w:t>
      </w:r>
    </w:p>
    <w:p w14:paraId="0C633F9D" w14:textId="77777777" w:rsidR="00797CE5" w:rsidRDefault="00797CE5" w:rsidP="006050F7">
      <w:pPr>
        <w:pStyle w:val="Heading1"/>
        <w:numPr>
          <w:ilvl w:val="0"/>
          <w:numId w:val="0"/>
        </w:numPr>
        <w:rPr>
          <w:lang w:val="en-US"/>
        </w:rPr>
      </w:pPr>
      <w:r>
        <w:rPr>
          <w:lang w:val="en-US"/>
        </w:rPr>
        <w:t>References</w:t>
      </w:r>
    </w:p>
    <w:p w14:paraId="28CA9D00" w14:textId="1A869D6B" w:rsidR="00297C07" w:rsidRDefault="002339E1" w:rsidP="00797CE5">
      <w:pPr>
        <w:rPr>
          <w:lang w:val="en-US"/>
        </w:rPr>
      </w:pPr>
      <w:r>
        <w:rPr>
          <w:lang w:val="en-US"/>
        </w:rPr>
        <w:t>[1] R</w:t>
      </w:r>
      <w:r w:rsidR="009C5EB9">
        <w:rPr>
          <w:lang w:val="en-US"/>
        </w:rPr>
        <w:t>4-190</w:t>
      </w:r>
      <w:r w:rsidR="00AC2ADB">
        <w:rPr>
          <w:lang w:val="en-US"/>
        </w:rPr>
        <w:t>7331</w:t>
      </w:r>
    </w:p>
    <w:p w14:paraId="3951D1EF" w14:textId="6293BB9E" w:rsidR="00302E42" w:rsidRDefault="00302E42" w:rsidP="00797CE5">
      <w:pPr>
        <w:rPr>
          <w:lang w:val="en-US"/>
        </w:rPr>
      </w:pPr>
      <w:r>
        <w:rPr>
          <w:lang w:val="en-US"/>
        </w:rPr>
        <w:t>[2] TS 36.331</w:t>
      </w:r>
    </w:p>
    <w:p w14:paraId="1B4EAF07" w14:textId="7F5AA657" w:rsidR="00851719" w:rsidRDefault="00851719" w:rsidP="00797CE5">
      <w:pPr>
        <w:rPr>
          <w:lang w:val="en-US"/>
        </w:rPr>
      </w:pPr>
      <w:r>
        <w:rPr>
          <w:lang w:val="en-US"/>
        </w:rPr>
        <w:t>[</w:t>
      </w:r>
      <w:r w:rsidR="00302E42">
        <w:rPr>
          <w:lang w:val="en-US"/>
        </w:rPr>
        <w:t>3</w:t>
      </w:r>
      <w:r>
        <w:rPr>
          <w:lang w:val="en-US"/>
        </w:rPr>
        <w:t>] RP-191360</w:t>
      </w:r>
    </w:p>
    <w:p w14:paraId="53AC490C" w14:textId="016A692C" w:rsidR="00184C5D" w:rsidRDefault="00184C5D" w:rsidP="00797CE5">
      <w:pPr>
        <w:rPr>
          <w:lang w:val="en-US"/>
        </w:rPr>
      </w:pPr>
      <w:r>
        <w:rPr>
          <w:lang w:val="en-US"/>
        </w:rPr>
        <w:t xml:space="preserve">[4] </w:t>
      </w:r>
      <w:r w:rsidR="00703ABC">
        <w:rPr>
          <w:lang w:val="en-US"/>
        </w:rPr>
        <w:t>TS 38.331</w:t>
      </w:r>
    </w:p>
    <w:p w14:paraId="6A51757A" w14:textId="397D5FB0" w:rsidR="00B21DEF" w:rsidRDefault="00B21DEF" w:rsidP="00797CE5">
      <w:pPr>
        <w:rPr>
          <w:lang w:val="en-US"/>
        </w:rPr>
      </w:pPr>
      <w:r>
        <w:rPr>
          <w:lang w:val="en-US"/>
        </w:rPr>
        <w:t>[5] R4-1908476</w:t>
      </w:r>
    </w:p>
    <w:p w14:paraId="19CCB68F" w14:textId="4C77064F" w:rsidR="00B21DEF" w:rsidRDefault="00B21DEF" w:rsidP="00797CE5">
      <w:pPr>
        <w:rPr>
          <w:lang w:val="en-US"/>
        </w:rPr>
      </w:pPr>
      <w:r>
        <w:rPr>
          <w:lang w:val="en-US"/>
        </w:rPr>
        <w:t>[6] R4-1908481</w:t>
      </w:r>
    </w:p>
    <w:p w14:paraId="0D39D0C1" w14:textId="0A5DC9F3" w:rsidR="00B21DEF" w:rsidRDefault="00B21DEF" w:rsidP="00797CE5">
      <w:pPr>
        <w:rPr>
          <w:lang w:val="en-US"/>
        </w:rPr>
      </w:pPr>
      <w:r>
        <w:rPr>
          <w:lang w:val="en-US"/>
        </w:rPr>
        <w:t>[7] R4-1908482</w:t>
      </w:r>
    </w:p>
    <w:p w14:paraId="4B1928F9" w14:textId="65CBBC28" w:rsidR="00B21DEF" w:rsidRDefault="00B21DEF" w:rsidP="00797CE5">
      <w:pPr>
        <w:rPr>
          <w:lang w:val="en-US"/>
        </w:rPr>
      </w:pPr>
      <w:r>
        <w:rPr>
          <w:lang w:val="en-US"/>
        </w:rPr>
        <w:t>[8] R4-1908488</w:t>
      </w:r>
    </w:p>
    <w:p w14:paraId="53FE3095" w14:textId="46D2FD30" w:rsidR="00B21DEF" w:rsidRDefault="00B21DEF" w:rsidP="00797CE5">
      <w:pPr>
        <w:rPr>
          <w:lang w:val="en-US"/>
        </w:rPr>
      </w:pPr>
      <w:r>
        <w:rPr>
          <w:lang w:val="en-US"/>
        </w:rPr>
        <w:t>[9] R4-1908492</w:t>
      </w:r>
    </w:p>
    <w:p w14:paraId="2748067C" w14:textId="7BC8BE72" w:rsidR="00B21DEF" w:rsidRDefault="00B21DEF" w:rsidP="00797CE5">
      <w:pPr>
        <w:rPr>
          <w:lang w:val="en-US"/>
        </w:rPr>
      </w:pPr>
      <w:r>
        <w:rPr>
          <w:lang w:val="en-US"/>
        </w:rPr>
        <w:t>[10] R4-1908495</w:t>
      </w:r>
      <w:bookmarkStart w:id="0" w:name="_GoBack"/>
      <w:bookmarkEnd w:id="0"/>
    </w:p>
    <w:sectPr w:rsidR="00B21DEF"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C592" w14:textId="77777777" w:rsidR="00CD2A0F" w:rsidRDefault="00CD2A0F">
      <w:r>
        <w:separator/>
      </w:r>
    </w:p>
  </w:endnote>
  <w:endnote w:type="continuationSeparator" w:id="0">
    <w:p w14:paraId="54ADCFD7" w14:textId="77777777" w:rsidR="00CD2A0F" w:rsidRDefault="00CD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ED8FA" w14:textId="77777777" w:rsidR="00CD2A0F" w:rsidRDefault="00CD2A0F">
      <w:r>
        <w:separator/>
      </w:r>
    </w:p>
  </w:footnote>
  <w:footnote w:type="continuationSeparator" w:id="0">
    <w:p w14:paraId="43F89304" w14:textId="77777777" w:rsidR="00CD2A0F" w:rsidRDefault="00CD2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65B68"/>
    <w:multiLevelType w:val="hybridMultilevel"/>
    <w:tmpl w:val="B9268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C0CAB"/>
    <w:multiLevelType w:val="hybridMultilevel"/>
    <w:tmpl w:val="4B986E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9D07D9E"/>
    <w:multiLevelType w:val="hybridMultilevel"/>
    <w:tmpl w:val="D330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9"/>
  </w:num>
  <w:num w:numId="3">
    <w:abstractNumId w:val="31"/>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7"/>
  </w:num>
  <w:num w:numId="9">
    <w:abstractNumId w:val="20"/>
  </w:num>
  <w:num w:numId="10">
    <w:abstractNumId w:val="3"/>
  </w:num>
  <w:num w:numId="11">
    <w:abstractNumId w:val="16"/>
  </w:num>
  <w:num w:numId="12">
    <w:abstractNumId w:val="6"/>
  </w:num>
  <w:num w:numId="13">
    <w:abstractNumId w:val="15"/>
  </w:num>
  <w:num w:numId="14">
    <w:abstractNumId w:val="2"/>
  </w:num>
  <w:num w:numId="15">
    <w:abstractNumId w:val="33"/>
  </w:num>
  <w:num w:numId="16">
    <w:abstractNumId w:val="24"/>
  </w:num>
  <w:num w:numId="17">
    <w:abstractNumId w:val="8"/>
  </w:num>
  <w:num w:numId="18">
    <w:abstractNumId w:val="32"/>
  </w:num>
  <w:num w:numId="19">
    <w:abstractNumId w:val="23"/>
  </w:num>
  <w:num w:numId="20">
    <w:abstractNumId w:val="14"/>
  </w:num>
  <w:num w:numId="21">
    <w:abstractNumId w:val="25"/>
  </w:num>
  <w:num w:numId="22">
    <w:abstractNumId w:val="22"/>
  </w:num>
  <w:num w:numId="23">
    <w:abstractNumId w:val="4"/>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6"/>
  </w:num>
  <w:num w:numId="26">
    <w:abstractNumId w:val="30"/>
  </w:num>
  <w:num w:numId="27">
    <w:abstractNumId w:val="5"/>
  </w:num>
  <w:num w:numId="28">
    <w:abstractNumId w:val="28"/>
  </w:num>
  <w:num w:numId="29">
    <w:abstractNumId w:val="17"/>
  </w:num>
  <w:num w:numId="30">
    <w:abstractNumId w:val="13"/>
  </w:num>
  <w:num w:numId="31">
    <w:abstractNumId w:val="21"/>
  </w:num>
  <w:num w:numId="32">
    <w:abstractNumId w:val="10"/>
  </w:num>
  <w:num w:numId="33">
    <w:abstractNumId w:val="19"/>
  </w:num>
  <w:num w:numId="34">
    <w:abstractNumId w:val="27"/>
  </w:num>
  <w:num w:numId="3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BEC"/>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97"/>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5E3"/>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3D"/>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DC1"/>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743"/>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982"/>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26A7"/>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4FB1"/>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45"/>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4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04"/>
    <w:rsid w:val="00632AE2"/>
    <w:rsid w:val="00632CD8"/>
    <w:rsid w:val="00633085"/>
    <w:rsid w:val="00633132"/>
    <w:rsid w:val="0063328E"/>
    <w:rsid w:val="006337F9"/>
    <w:rsid w:val="0063392E"/>
    <w:rsid w:val="00633AF8"/>
    <w:rsid w:val="00633CAB"/>
    <w:rsid w:val="00633E61"/>
    <w:rsid w:val="00633EB3"/>
    <w:rsid w:val="00633F5F"/>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ABC"/>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948"/>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624"/>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46C"/>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C48"/>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229"/>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881"/>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365"/>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54B"/>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E7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618"/>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B66"/>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1DEF"/>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6C"/>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543"/>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222"/>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022"/>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3F4"/>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0CC"/>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4BA"/>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9D"/>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0F"/>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981"/>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899"/>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AEF"/>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98D"/>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97"/>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095"/>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5A"/>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notesChar">
    <w:name w:val="notes Char"/>
    <w:basedOn w:val="DefaultParagraphFont"/>
    <w:link w:val="notes"/>
    <w:locked/>
    <w:rsid w:val="003B5982"/>
    <w:rPr>
      <w:rFonts w:ascii="Arial" w:eastAsiaTheme="minorEastAsia" w:hAnsi="Arial" w:cs="Arial"/>
      <w:i/>
      <w:color w:val="00B0F0"/>
      <w:sz w:val="16"/>
      <w:szCs w:val="16"/>
      <w:lang w:eastAsia="zh-CN"/>
    </w:rPr>
  </w:style>
  <w:style w:type="paragraph" w:customStyle="1" w:styleId="notes">
    <w:name w:val="notes"/>
    <w:basedOn w:val="Normal"/>
    <w:link w:val="notesChar"/>
    <w:qFormat/>
    <w:rsid w:val="003B5982"/>
    <w:pPr>
      <w:spacing w:after="0" w:line="256" w:lineRule="auto"/>
    </w:pPr>
    <w:rPr>
      <w:rFonts w:ascii="Arial" w:eastAsiaTheme="minorEastAsia" w:hAnsi="Arial" w:cs="Arial"/>
      <w:i/>
      <w:color w:val="00B0F0"/>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CFE5C-D337-43CB-A0F7-86B07E33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1230</TotalTime>
  <Pages>3</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20</cp:revision>
  <cp:lastPrinted>2009-04-22T21:01:00Z</cp:lastPrinted>
  <dcterms:created xsi:type="dcterms:W3CDTF">2019-08-01T20:42:00Z</dcterms:created>
  <dcterms:modified xsi:type="dcterms:W3CDTF">2019-08-16T00:41:00Z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